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m1gmheqc880i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PRESS RELEASE — FOR IMMEDIATE PUBLICATION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gd05vd5o2vpq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Black Justice Exposes Systemic Procedural Failures in UK Bridging Finance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l5e5gqxjwkvj" w:id="2"/>
      <w:bookmarkEnd w:id="2"/>
      <w:r w:rsidDel="00000000" w:rsidR="00000000" w:rsidRPr="00000000">
        <w:rPr>
          <w:b w:val="1"/>
          <w:bCs w:val="1"/>
          <w:color w:val="000000"/>
          <w:rtl w:val="0"/>
        </w:rPr>
        <w:t xml:space="preserve">New Forensic Report Reveals Fabricated Documents, Identity Contamination, Undisclosed Commissions, and Unsafe Enforcement Practices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London, United Kingdom — Black Justice Research Centre</w:t>
      </w:r>
      <w:r w:rsidDel="00000000" w:rsidR="00000000" w:rsidRPr="00000000">
        <w:rPr>
          <w:sz w:val="24"/>
          <w:szCs w:val="24"/>
          <w:rtl w:val="0"/>
        </w:rPr>
        <w:t xml:space="preserve"> today publishes a landmark doctrinal report exposing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structural misconduct</w:t>
      </w:r>
      <w:r w:rsidDel="00000000" w:rsidR="00000000" w:rsidRPr="00000000">
        <w:rPr>
          <w:sz w:val="24"/>
          <w:szCs w:val="24"/>
          <w:rtl w:val="0"/>
        </w:rPr>
        <w:t xml:space="preserve"> in the UK bridging finance sector, following a comprehensive forensic investigation into the lending relationship between a London homeowner and multiple regulated lenders.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report, titled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“The Architecture of Procedural Failure: A Forensic Doctrinal Analysis of Broker Misconduct, Lender Reliance, and Unfair Relationships in UK Bridging Finance,”</w:t>
      </w:r>
      <w:r w:rsidDel="00000000" w:rsidR="00000000" w:rsidRPr="00000000">
        <w:rPr>
          <w:sz w:val="24"/>
          <w:szCs w:val="24"/>
          <w:rtl w:val="0"/>
        </w:rPr>
        <w:t xml:space="preserve"> reveals a pattern of behaviour that Black Justice describes as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“systemic, dangerous, and incompatible with the rule of law.”</w:t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3r353xz0yi9l" w:id="3"/>
      <w:bookmarkEnd w:id="3"/>
      <w:r w:rsidDel="00000000" w:rsidR="00000000" w:rsidRPr="00000000">
        <w:rPr>
          <w:b w:val="1"/>
          <w:bCs w:val="1"/>
          <w:color w:val="000000"/>
          <w:rtl w:val="0"/>
        </w:rPr>
        <w:t xml:space="preserve">Key Findings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investigation uncovered: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Future‑dated Terms of Business Agreements</w:t>
      </w:r>
      <w:r w:rsidDel="00000000" w:rsidR="00000000" w:rsidRPr="00000000">
        <w:rPr>
          <w:sz w:val="24"/>
          <w:szCs w:val="24"/>
          <w:rtl w:val="0"/>
        </w:rPr>
        <w:t xml:space="preserve"> used to justify past conduct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Application documents created before any broker–client relationship existed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Seven inconsistent signatures</w:t>
      </w:r>
      <w:r w:rsidDel="00000000" w:rsidR="00000000" w:rsidRPr="00000000">
        <w:rPr>
          <w:sz w:val="24"/>
          <w:szCs w:val="24"/>
          <w:rtl w:val="0"/>
        </w:rPr>
        <w:t xml:space="preserve"> attributed to the borrower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Financial statements belonging to third parties</w:t>
      </w:r>
      <w:r w:rsidDel="00000000" w:rsidR="00000000" w:rsidRPr="00000000">
        <w:rPr>
          <w:sz w:val="24"/>
          <w:szCs w:val="24"/>
          <w:rtl w:val="0"/>
        </w:rPr>
        <w:t xml:space="preserve"> inserted into the borrower’s file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£64,274 in undisclosed broker commissions</w:t>
      </w:r>
      <w:r w:rsidDel="00000000" w:rsidR="00000000" w:rsidRPr="00000000">
        <w:rPr>
          <w:sz w:val="24"/>
          <w:szCs w:val="24"/>
          <w:rtl w:val="0"/>
        </w:rPr>
        <w:t xml:space="preserve"> across four lenders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Retrospective file‑building</w:t>
      </w:r>
      <w:r w:rsidDel="00000000" w:rsidR="00000000" w:rsidRPr="00000000">
        <w:rPr>
          <w:sz w:val="24"/>
          <w:szCs w:val="24"/>
          <w:rtl w:val="0"/>
        </w:rPr>
        <w:t xml:space="preserve"> after the borrower requested documents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Late disclosure of the executed legal charge</w:t>
      </w:r>
      <w:r w:rsidDel="00000000" w:rsidR="00000000" w:rsidRPr="00000000">
        <w:rPr>
          <w:sz w:val="24"/>
          <w:szCs w:val="24"/>
          <w:rtl w:val="0"/>
        </w:rPr>
        <w:t xml:space="preserve"> (10 months after completion)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Multiple simultaneous high‑risk loan applications</w:t>
      </w:r>
      <w:r w:rsidDel="00000000" w:rsidR="00000000" w:rsidRPr="00000000">
        <w:rPr>
          <w:sz w:val="24"/>
          <w:szCs w:val="24"/>
          <w:rtl w:val="0"/>
        </w:rPr>
        <w:t xml:space="preserve"> submitted without the borrower’s knowledge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Misrepresentation of the borrower’s financial position</w:t>
      </w:r>
      <w:r w:rsidDel="00000000" w:rsidR="00000000" w:rsidRPr="00000000">
        <w:rPr>
          <w:sz w:val="24"/>
          <w:szCs w:val="24"/>
          <w:rtl w:val="0"/>
        </w:rPr>
        <w:t xml:space="preserve"> to third parties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Enforcement pursued despite incomplete and contaminated documentation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concludes that the lending relationship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fundamentally unfair</w:t>
      </w:r>
      <w:r w:rsidDel="00000000" w:rsidR="00000000" w:rsidRPr="00000000">
        <w:rPr>
          <w:sz w:val="24"/>
          <w:szCs w:val="24"/>
          <w:rtl w:val="0"/>
        </w:rPr>
        <w:t xml:space="preserve"> under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s.140A Consumer Credit Act 1974</w:t>
      </w:r>
      <w:r w:rsidDel="00000000" w:rsidR="00000000" w:rsidRPr="00000000">
        <w:rPr>
          <w:sz w:val="24"/>
          <w:szCs w:val="24"/>
          <w:rtl w:val="0"/>
        </w:rPr>
        <w:t xml:space="preserve">, and that enforcement based on such a file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procedurally unsafe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7rhk987yp9pu" w:id="4"/>
      <w:bookmarkEnd w:id="4"/>
      <w:r w:rsidDel="00000000" w:rsidR="00000000" w:rsidRPr="00000000">
        <w:rPr>
          <w:b w:val="1"/>
          <w:bCs w:val="1"/>
          <w:color w:val="000000"/>
          <w:rtl w:val="0"/>
        </w:rPr>
        <w:t xml:space="preserve">A Structural, Not Incidental, Failure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report emphasises that these defects are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 clerical errors</w:t>
      </w:r>
      <w:r w:rsidDel="00000000" w:rsidR="00000000" w:rsidRPr="00000000">
        <w:rPr>
          <w:sz w:val="24"/>
          <w:szCs w:val="24"/>
          <w:rtl w:val="0"/>
        </w:rPr>
        <w:t xml:space="preserve"> but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structural failures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15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“This case demonstrates a collapse of procedural integrity at every stage — from broker onboarding to lender underwriting to enforcement.</w:t>
        <w:br w:type="textWrapping"/>
        <w:t xml:space="preserve"> The documentation is not merely flawed; it is contaminated, inconsistent, and in several instances, fabricated.”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63h32imjbi2w" w:id="5"/>
      <w:bookmarkEnd w:id="5"/>
      <w:r w:rsidDel="00000000" w:rsidR="00000000" w:rsidRPr="00000000">
        <w:rPr>
          <w:b w:val="1"/>
          <w:bCs w:val="1"/>
          <w:color w:val="000000"/>
          <w:rtl w:val="0"/>
        </w:rPr>
        <w:t xml:space="preserve">Regulatory and Legal Implications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warns that the findings raise serious concerns under: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FCA CONC</w:t>
      </w:r>
      <w:r w:rsidDel="00000000" w:rsidR="00000000" w:rsidRPr="00000000">
        <w:rPr>
          <w:sz w:val="24"/>
          <w:szCs w:val="24"/>
          <w:rtl w:val="0"/>
        </w:rPr>
        <w:t xml:space="preserve"> (Consumer Credit Sourcebook)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Consumer Duty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FSMA 2000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Money Laundering Regulations 2017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Common‑law doctrines of misrepresentation and authentic execution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report argues that lenders cannot rely on: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future‑dated TOBAs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inconsistent signatures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third‑party financial statements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retrospective documents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incomplete transactional files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that enforcement action taken on such a basis risks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serious injustice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20qmijfk1uvj" w:id="6"/>
      <w:bookmarkEnd w:id="6"/>
      <w:r w:rsidDel="00000000" w:rsidR="00000000" w:rsidRPr="00000000">
        <w:rPr>
          <w:b w:val="1"/>
          <w:bCs w:val="1"/>
          <w:color w:val="000000"/>
          <w:rtl w:val="0"/>
        </w:rPr>
        <w:t xml:space="preserve">Call for Reform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calls for: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mandatory audit trails for brokers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prohibition of retrospective documentation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mandatory disclosure of exact commission amounts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enhanced lender due‑diligence obligations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enforcement moratoriums where documentation is defective</w:t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5x5b2i1cpz25" w:id="7"/>
      <w:bookmarkEnd w:id="7"/>
      <w:r w:rsidDel="00000000" w:rsidR="00000000" w:rsidRPr="00000000">
        <w:rPr>
          <w:b w:val="1"/>
          <w:bCs w:val="1"/>
          <w:color w:val="000000"/>
          <w:rtl w:val="0"/>
        </w:rPr>
        <w:t xml:space="preserve">A Warning to the Industry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report concludes:</w:t>
      </w:r>
    </w:p>
    <w:p w:rsidR="00000000" w:rsidDel="00000000" w:rsidP="00000000" w:rsidRDefault="00000000" w:rsidRPr="00000000" w14:paraId="0000002D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“This case is not an anomaly. It is a warning.</w:t>
        <w:br w:type="textWrapping"/>
        <w:t xml:space="preserve"> Without structural reform, the bridging finance sector will continue to generate unfair relationships, unsafe securities, and avoidable evictions.”</w:t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rv80zozgsdz6" w:id="8"/>
      <w:bookmarkEnd w:id="8"/>
      <w:r w:rsidDel="00000000" w:rsidR="00000000" w:rsidRPr="00000000">
        <w:rPr>
          <w:b w:val="1"/>
          <w:bCs w:val="1"/>
          <w:color w:val="000000"/>
          <w:rtl w:val="0"/>
        </w:rPr>
        <w:t xml:space="preserve">About Black Justice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is an independent research centre dedicated to exposing procedural injustice, protecting vulnerable borrowers, and advancing doctrinal reform across the UK’s legal and financial systems.</w:t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